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Default Extension="fntdata" ContentType="application/x-fontdata"/>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fontTable.xml" ContentType="application/vnd.openxmlformats-officedocument.wordprocessingml.fontTable+xml"/>
  <Override PartName="/word/theme/theme1.xml" ContentType="application/vnd.openxmlformats-officedocument.theme+xml"/>
  <Override PartName="/word/_rels/document.xml.rels" ContentType="application/vnd.openxmlformats-package.relationships+xml"/>
  <Override PartName="/docProps/custom.xml" ContentType="application/vnd.openxmlformats-officedocument.custom-properties+xml"/>
  <Override PartName="/docProps/core.xml" ContentType="application/vnd.openxmlformats-package.core-properties+xml"/>
  <Override PartName="/docProps/app.xml" ContentType="application/vnd.openxmlformats-officedocument.extended-propertie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start"/>
        <w:rPr>
          <w:rFonts w:ascii="Verdana" w:hAnsi="Verdana"/>
        </w:rPr>
      </w:pPr>
      <w:r>
        <w:rPr>
          <w:rFonts w:ascii="Verdana" w:hAnsi="Verdana"/>
        </w:rPr>
        <w:t>[Eingeschrieben]</w:t>
        <w:br/>
        <w:t>Departement Finanzen und Ressourcen</w:t>
      </w:r>
    </w:p>
    <w:p>
      <w:pPr>
        <w:pStyle w:val="Normal"/>
        <w:bidi w:val="0"/>
        <w:jc w:val="start"/>
        <w:rPr>
          <w:rFonts w:ascii="Verdana" w:hAnsi="Verdana"/>
        </w:rPr>
      </w:pPr>
      <w:r>
        <w:rPr>
          <w:rFonts w:ascii="Verdana" w:hAnsi="Verdana"/>
        </w:rPr>
        <w:t>Tellistrasse 67</w:t>
      </w:r>
    </w:p>
    <w:p>
      <w:pPr>
        <w:pStyle w:val="Normal"/>
        <w:bidi w:val="0"/>
        <w:jc w:val="start"/>
        <w:rPr>
          <w:rFonts w:ascii="Verdana" w:hAnsi="Verdana"/>
        </w:rPr>
      </w:pPr>
      <w:r>
        <w:rPr>
          <w:rFonts w:ascii="Verdana" w:hAnsi="Verdana"/>
        </w:rPr>
        <w:t>5000 Aarau</w:t>
      </w:r>
    </w:p>
    <w:p>
      <w:pPr>
        <w:pStyle w:val="Normal"/>
        <w:bidi w:val="0"/>
        <w:jc w:val="start"/>
        <w:rPr>
          <w:rFonts w:ascii="Verdana" w:hAnsi="Verdana"/>
        </w:rPr>
      </w:pPr>
      <w:r>
        <w:rPr>
          <w:rFonts w:ascii="Verdana" w:hAnsi="Verdana"/>
        </w:rPr>
      </w:r>
    </w:p>
    <w:p>
      <w:pPr>
        <w:pStyle w:val="Normal"/>
        <w:bidi w:val="0"/>
        <w:jc w:val="start"/>
        <w:rPr>
          <w:rFonts w:ascii="Verdana" w:hAnsi="Verdana"/>
        </w:rPr>
      </w:pPr>
      <w:r>
        <w:rPr>
          <w:rFonts w:ascii="Verdana" w:hAnsi="Verdana"/>
        </w:rPr>
        <w:t>[Ort], [Datum]</w:t>
      </w:r>
    </w:p>
    <w:p>
      <w:pPr>
        <w:pStyle w:val="Normal"/>
        <w:bidi w:val="0"/>
        <w:jc w:val="start"/>
        <w:rPr>
          <w:rFonts w:ascii="Verdana" w:hAnsi="Verdana"/>
        </w:rPr>
      </w:pPr>
      <w:r>
        <w:rPr>
          <w:rFonts w:ascii="Verdana" w:hAnsi="Verdana"/>
        </w:rPr>
      </w:r>
    </w:p>
    <w:p>
      <w:pPr>
        <w:pStyle w:val="Normal"/>
        <w:bidi w:val="0"/>
        <w:jc w:val="start"/>
        <w:rPr>
          <w:rFonts w:ascii="Verdana" w:hAnsi="Verdana"/>
          <w:b/>
          <w:bCs/>
        </w:rPr>
      </w:pPr>
      <w:r>
        <w:rPr>
          <w:rFonts w:ascii="Verdana" w:hAnsi="Verdana"/>
          <w:b/>
          <w:bCs/>
        </w:rPr>
        <w:t>Betreff: Einsprache gegen Schätzungsverfügung – mangelnde Transparenz, fehlende Nachvollziehbarkeit und Ungleichbehandlung</w:t>
      </w:r>
    </w:p>
    <w:p>
      <w:pPr>
        <w:pStyle w:val="Normal"/>
        <w:bidi w:val="0"/>
        <w:jc w:val="start"/>
        <w:rPr>
          <w:rFonts w:ascii="Verdana" w:hAnsi="Verdana"/>
          <w:b/>
          <w:bCs/>
        </w:rPr>
      </w:pPr>
      <w:r>
        <w:rPr>
          <w:rFonts w:ascii="Verdana" w:hAnsi="Verdana"/>
          <w:b/>
          <w:bCs/>
        </w:rPr>
      </w:r>
    </w:p>
    <w:p>
      <w:pPr>
        <w:pStyle w:val="Normal"/>
        <w:bidi w:val="0"/>
        <w:jc w:val="start"/>
        <w:rPr>
          <w:rFonts w:ascii="Verdana" w:hAnsi="Verdana"/>
        </w:rPr>
      </w:pPr>
      <w:r>
        <w:rPr>
          <w:rFonts w:ascii="Verdana" w:hAnsi="Verdana"/>
        </w:rPr>
        <w:t>Sehr geehrte Damen und Herren</w:t>
      </w:r>
    </w:p>
    <w:p>
      <w:pPr>
        <w:pStyle w:val="Normal"/>
        <w:bidi w:val="0"/>
        <w:jc w:val="start"/>
        <w:rPr>
          <w:rFonts w:ascii="Verdana" w:hAnsi="Verdana"/>
        </w:rPr>
      </w:pPr>
      <w:r>
        <w:rPr>
          <w:rFonts w:ascii="Verdana" w:hAnsi="Verdana"/>
        </w:rPr>
        <w:t>Hiermit erhebe ich fristgerecht Einsprache gegen die mir zugestellte Schätzungsverfügung vom (xx.xx.xxxx) betreffend die Allgemeine Neuschätzung meiner Liegenschaft (Schätzungs-Nr. xxxxxxx). Die Verfügung weist aus meiner Sicht erhebliche Mängel in Bezug auf Transparenz und Nachvollziehbarkeit auf:</w:t>
        <w:br/>
      </w:r>
    </w:p>
    <w:p>
      <w:pPr>
        <w:pStyle w:val="Normal"/>
        <w:widowControl/>
        <w:numPr>
          <w:ilvl w:val="0"/>
          <w:numId w:val="1"/>
        </w:numPr>
        <w:suppressAutoHyphens w:val="true"/>
        <w:bidi w:val="0"/>
        <w:spacing w:before="0" w:after="0"/>
        <w:ind w:hanging="397" w:start="624" w:end="0"/>
        <w:jc w:val="start"/>
        <w:rPr>
          <w:rFonts w:ascii="Verdana" w:hAnsi="Verdana"/>
        </w:rPr>
      </w:pPr>
      <w:r>
        <w:rPr>
          <w:rFonts w:ascii="Verdana" w:hAnsi="Verdana"/>
        </w:rPr>
        <w:t>Fehlende Bewertungsgrundlagen:</w:t>
        <w:br/>
        <w:t>Es ist nicht ersichtlich, auf welchen konkreten Marktanalysen, Bewertungsmodellen oder Vergleichswerten die neue Einschätzung basiert. Die Verfügung enthält keine Angaben zu Lagefaktoren, Zustand der Liegenschaft oder zur Berechnungslogik.</w:t>
      </w:r>
    </w:p>
    <w:p>
      <w:pPr>
        <w:pStyle w:val="Normal"/>
        <w:widowControl/>
        <w:numPr>
          <w:ilvl w:val="0"/>
          <w:numId w:val="1"/>
        </w:numPr>
        <w:suppressAutoHyphens w:val="true"/>
        <w:bidi w:val="0"/>
        <w:spacing w:before="0" w:after="0"/>
        <w:ind w:hanging="397" w:start="624" w:end="0"/>
        <w:jc w:val="start"/>
        <w:rPr>
          <w:rFonts w:ascii="Verdana" w:hAnsi="Verdana"/>
        </w:rPr>
      </w:pPr>
      <w:r>
        <w:rPr>
          <w:rFonts w:ascii="Verdana" w:hAnsi="Verdana"/>
        </w:rPr>
        <w:t>Keine individuelle Begründung:</w:t>
        <w:br/>
        <w:t>Die Bewertung erscheint pauschal und automatisiert. Eine nachvollziehbare Erläuterung, wie der neue Wert zustande kommt, fehlt vollständig.</w:t>
      </w:r>
    </w:p>
    <w:p>
      <w:pPr>
        <w:pStyle w:val="Normal"/>
        <w:widowControl/>
        <w:numPr>
          <w:ilvl w:val="0"/>
          <w:numId w:val="1"/>
        </w:numPr>
        <w:suppressAutoHyphens w:val="true"/>
        <w:bidi w:val="0"/>
        <w:spacing w:before="0" w:after="0"/>
        <w:ind w:hanging="397" w:start="624" w:end="0"/>
        <w:jc w:val="start"/>
        <w:rPr>
          <w:rFonts w:ascii="Verdana" w:hAnsi="Verdana"/>
        </w:rPr>
      </w:pPr>
      <w:r>
        <w:rPr>
          <w:rFonts w:ascii="Verdana" w:hAnsi="Verdana"/>
        </w:rPr>
        <w:t>Unverhältnismässige Wertsteigerung:</w:t>
        <w:br/>
        <w:t>Der neue Steuerwert liegt deutlich über dem bisherigen Wert, ohne dass eine entsprechende reale Wertsteigerung stattgefunden hat. Dies wirkt sich direkt auf die Vermögenssteuer aus und ist für mich nicht nachvollziehbar.</w:t>
      </w:r>
    </w:p>
    <w:p>
      <w:pPr>
        <w:pStyle w:val="Normal"/>
        <w:widowControl/>
        <w:numPr>
          <w:ilvl w:val="0"/>
          <w:numId w:val="1"/>
        </w:numPr>
        <w:suppressAutoHyphens w:val="true"/>
        <w:bidi w:val="0"/>
        <w:spacing w:before="0" w:after="0"/>
        <w:ind w:hanging="397" w:start="624" w:end="0"/>
        <w:jc w:val="start"/>
        <w:rPr>
          <w:rFonts w:ascii="Verdana" w:hAnsi="Verdana"/>
        </w:rPr>
      </w:pPr>
      <w:r>
        <w:rPr>
          <w:rFonts w:ascii="Verdana" w:hAnsi="Verdana"/>
        </w:rPr>
        <w:t>Fehlende Vergleichswerte:</w:t>
        <w:br/>
        <w:t>Es fehlen Angaben zu ähnlichen Objekten in der Umgebung, die als Referenz dienen könnten. Ohne diese ist eine objektive Einschätzung nicht möglich.</w:t>
      </w:r>
    </w:p>
    <w:p>
      <w:pPr>
        <w:pStyle w:val="Normal"/>
        <w:widowControl/>
        <w:numPr>
          <w:ilvl w:val="0"/>
          <w:numId w:val="1"/>
        </w:numPr>
        <w:suppressAutoHyphens w:val="true"/>
        <w:bidi w:val="0"/>
        <w:spacing w:before="0" w:after="0"/>
        <w:ind w:hanging="397" w:start="624" w:end="0"/>
        <w:jc w:val="start"/>
        <w:rPr>
          <w:rFonts w:ascii="Verdana" w:hAnsi="Verdana"/>
        </w:rPr>
      </w:pPr>
      <w:r>
        <w:rPr>
          <w:rFonts w:ascii="Verdana" w:hAnsi="Verdana"/>
        </w:rPr>
        <w:t>Ungleichbehandlung im interkantonalen Vergleich:</w:t>
        <w:br/>
        <w:t>Mehrere andere Kantone haben die Erhöhung der Schätzwerte bewusst ausgesetzt, um die Auswirkungen der geplanten Abschaffung des Eigenmietwerts abzuwarten. Der Kanton Aargau hingegen setzt die Erhöhung trotz klarer politischer Signale um – obwohl er finanziell solide dasteht. Diese Vorgehensweise wirkt auf mich widersprüchlich und wenig bürgernah.</w:t>
      </w:r>
    </w:p>
    <w:p>
      <w:pPr>
        <w:pStyle w:val="Normal"/>
        <w:numPr>
          <w:ilvl w:val="0"/>
          <w:numId w:val="0"/>
        </w:numPr>
        <w:bidi w:val="0"/>
        <w:ind w:hanging="0" w:start="720"/>
        <w:jc w:val="start"/>
        <w:rPr>
          <w:rFonts w:ascii="Verdana" w:hAnsi="Verdana"/>
        </w:rPr>
      </w:pPr>
      <w:r>
        <w:rPr>
          <w:rFonts w:ascii="Verdana" w:hAnsi="Verdana"/>
        </w:rPr>
      </w:r>
    </w:p>
    <w:p>
      <w:pPr>
        <w:pStyle w:val="Normal"/>
        <w:bidi w:val="0"/>
        <w:jc w:val="start"/>
        <w:rPr>
          <w:rFonts w:ascii="Verdana" w:hAnsi="Verdana"/>
        </w:rPr>
      </w:pPr>
      <w:r>
        <w:rPr>
          <w:rFonts w:ascii="Verdana" w:hAnsi="Verdana"/>
        </w:rPr>
        <w:t>Ich fordere daher eine kritische Überprüfung der Bewertungsmethodik und eine Aussetzung der neuen Werte bis zur definitiven Umsetzung der Abschaffung auf Bundesebene.</w:t>
      </w:r>
    </w:p>
    <w:p>
      <w:pPr>
        <w:pStyle w:val="Normal"/>
        <w:bidi w:val="0"/>
        <w:jc w:val="start"/>
        <w:rPr>
          <w:rFonts w:ascii="Verdana" w:hAnsi="Verdana"/>
        </w:rPr>
      </w:pPr>
      <w:r>
        <w:rPr>
          <w:rFonts w:ascii="Verdana" w:hAnsi="Verdana"/>
        </w:rPr>
        <w:t>I</w:t>
      </w:r>
      <w:r>
        <w:rPr>
          <w:rFonts w:ascii="Verdana" w:hAnsi="Verdana"/>
        </w:rPr>
        <w:t xml:space="preserve">ch </w:t>
      </w:r>
      <w:r>
        <w:rPr>
          <w:rFonts w:ascii="Verdana" w:hAnsi="Verdana"/>
        </w:rPr>
        <w:t xml:space="preserve">behalte mir vor, </w:t>
      </w:r>
      <w:r>
        <w:rPr>
          <w:rFonts w:ascii="Verdana" w:hAnsi="Verdana"/>
        </w:rPr>
        <w:t xml:space="preserve">weitere Begründungen </w:t>
      </w:r>
      <w:r>
        <w:rPr>
          <w:rFonts w:ascii="Verdana" w:hAnsi="Verdana"/>
        </w:rPr>
        <w:t xml:space="preserve">und Beweise </w:t>
      </w:r>
      <w:r>
        <w:rPr>
          <w:rFonts w:ascii="Verdana" w:hAnsi="Verdana"/>
        </w:rPr>
        <w:t>im Sinne eines Antrags zur Senkung der verfügten Schätzungswerte nach</w:t>
      </w:r>
      <w:r>
        <w:rPr>
          <w:rFonts w:ascii="Verdana" w:hAnsi="Verdana"/>
        </w:rPr>
        <w:t>zu</w:t>
      </w:r>
      <w:r>
        <w:rPr>
          <w:rFonts w:ascii="Verdana" w:hAnsi="Verdana"/>
        </w:rPr>
        <w:t>reichen.</w:t>
      </w:r>
    </w:p>
    <w:p>
      <w:pPr>
        <w:pStyle w:val="Normal"/>
        <w:bidi w:val="0"/>
        <w:jc w:val="start"/>
        <w:rPr>
          <w:rFonts w:ascii="Verdana" w:hAnsi="Verdana"/>
        </w:rPr>
      </w:pPr>
      <w:r>
        <w:rPr>
          <w:rFonts w:ascii="Verdana" w:hAnsi="Verdana"/>
        </w:rPr>
      </w:r>
    </w:p>
    <w:p>
      <w:pPr>
        <w:pStyle w:val="Normal"/>
        <w:bidi w:val="0"/>
        <w:jc w:val="start"/>
        <w:rPr>
          <w:rFonts w:ascii="Verdana" w:hAnsi="Verdana"/>
        </w:rPr>
      </w:pPr>
      <w:r>
        <w:rPr>
          <w:rFonts w:ascii="Verdana" w:hAnsi="Verdana"/>
        </w:rPr>
        <w:t>Mit freundlichen Grüssen</w:t>
      </w:r>
    </w:p>
    <w:p>
      <w:pPr>
        <w:pStyle w:val="Normal"/>
        <w:bidi w:val="0"/>
        <w:jc w:val="start"/>
        <w:rPr>
          <w:rFonts w:ascii="Verdana" w:hAnsi="Verdana"/>
        </w:rPr>
      </w:pPr>
      <w:r>
        <w:rPr>
          <w:rFonts w:ascii="Verdana" w:hAnsi="Verdana"/>
        </w:rPr>
      </w:r>
    </w:p>
    <w:p>
      <w:pPr>
        <w:pStyle w:val="Normal"/>
        <w:bidi w:val="0"/>
        <w:jc w:val="start"/>
        <w:rPr>
          <w:rFonts w:ascii="Verdana" w:hAnsi="Verdana"/>
        </w:rPr>
      </w:pPr>
      <w:r>
        <w:rPr>
          <w:rFonts w:ascii="Verdana" w:hAnsi="Verdana"/>
        </w:rPr>
        <w:t>[Vorname Name]</w:t>
      </w:r>
    </w:p>
    <w:p>
      <w:pPr>
        <w:pStyle w:val="Normal"/>
        <w:bidi w:val="0"/>
        <w:jc w:val="start"/>
        <w:rPr>
          <w:rFonts w:ascii="Verdana" w:hAnsi="Verdana"/>
        </w:rPr>
      </w:pPr>
      <w:r>
        <w:rPr>
          <w:rFonts w:ascii="Verdana" w:hAnsi="Verdana"/>
        </w:rPr>
        <w:t>[Adresse]</w:t>
      </w:r>
    </w:p>
    <w:p>
      <w:pPr>
        <w:pStyle w:val="Normal"/>
        <w:bidi w:val="0"/>
        <w:jc w:val="start"/>
        <w:rPr>
          <w:rFonts w:ascii="Verdana" w:hAnsi="Verdana"/>
        </w:rPr>
      </w:pPr>
      <w:r>
        <w:rPr>
          <w:rFonts w:ascii="Verdana" w:hAnsi="Verdana"/>
        </w:rPr>
        <w:t>[Unterschrift]</w:t>
      </w:r>
    </w:p>
    <w:sectPr>
      <w:type w:val="nextPage"/>
      <w:pgSz w:w="11906" w:h="16838"/>
      <w:pgMar w:left="1134" w:right="966" w:gutter="0" w:header="0" w:top="798" w:footer="0" w:bottom="846"/>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characterSet="windows-1252"/>
    <w:family w:val="roman"/>
    <w:pitch w:val="variable"/>
  </w:font>
  <w:font w:name="Symbol">
    <w:charset w:val="02"/>
    <w:family w:val="roman"/>
    <w:pitch w:val="variable"/>
  </w:font>
  <w:font w:name="Arial">
    <w:charset w:val="00" w:characterSet="windows-1252"/>
    <w:family w:val="swiss"/>
    <w:pitch w:val="variable"/>
  </w:font>
  <w:font w:name="Liberation Serif">
    <w:altName w:val="Times New Roman"/>
    <w:charset w:val="00" w:characterSet="windows-1252"/>
    <w:family w:val="roman"/>
    <w:pitch w:val="variable"/>
  </w:font>
  <w:font w:name="Liberation Sans">
    <w:altName w:val="Arial"/>
    <w:charset w:val="00" w:characterSet="windows-1252"/>
    <w:family w:val="swiss"/>
    <w:pitch w:val="variable"/>
  </w:font>
  <w:font w:name="Verdana">
    <w:charset w:val="00" w:characterSet="windows-1252"/>
    <w:family w:val="swiss"/>
    <w:pitch w:val="variable"/>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decimal"/>
      <w:lvlText w:val="%1."/>
      <w:lvlJc w:val="start"/>
      <w:pPr>
        <w:tabs>
          <w:tab w:val="num" w:pos="720"/>
        </w:tabs>
        <w:ind w:start="720" w:hanging="360"/>
      </w:pPr>
      <w:rPr/>
    </w:lvl>
    <w:lvl w:ilvl="1">
      <w:start w:val="1"/>
      <w:numFmt w:val="decimal"/>
      <w:lvlText w:val="%2."/>
      <w:lvlJc w:val="start"/>
      <w:pPr>
        <w:tabs>
          <w:tab w:val="num" w:pos="1080"/>
        </w:tabs>
        <w:ind w:start="1080" w:hanging="360"/>
      </w:pPr>
      <w:rPr/>
    </w:lvl>
    <w:lvl w:ilvl="2">
      <w:start w:val="1"/>
      <w:numFmt w:val="decimal"/>
      <w:lvlText w:val="%3."/>
      <w:lvlJc w:val="start"/>
      <w:pPr>
        <w:tabs>
          <w:tab w:val="num" w:pos="1440"/>
        </w:tabs>
        <w:ind w:start="1440" w:hanging="360"/>
      </w:pPr>
      <w:rPr/>
    </w:lvl>
    <w:lvl w:ilvl="3">
      <w:start w:val="1"/>
      <w:numFmt w:val="decimal"/>
      <w:lvlText w:val="%4."/>
      <w:lvlJc w:val="start"/>
      <w:pPr>
        <w:tabs>
          <w:tab w:val="num" w:pos="1800"/>
        </w:tabs>
        <w:ind w:start="1800" w:hanging="360"/>
      </w:pPr>
      <w:rPr/>
    </w:lvl>
    <w:lvl w:ilvl="4">
      <w:start w:val="1"/>
      <w:numFmt w:val="decimal"/>
      <w:lvlText w:val="%5."/>
      <w:lvlJc w:val="start"/>
      <w:pPr>
        <w:tabs>
          <w:tab w:val="num" w:pos="2160"/>
        </w:tabs>
        <w:ind w:start="2160" w:hanging="360"/>
      </w:pPr>
      <w:rPr/>
    </w:lvl>
    <w:lvl w:ilvl="5">
      <w:start w:val="1"/>
      <w:numFmt w:val="decimal"/>
      <w:lvlText w:val="%6."/>
      <w:lvlJc w:val="start"/>
      <w:pPr>
        <w:tabs>
          <w:tab w:val="num" w:pos="2520"/>
        </w:tabs>
        <w:ind w:start="2520" w:hanging="360"/>
      </w:pPr>
      <w:rPr/>
    </w:lvl>
    <w:lvl w:ilvl="6">
      <w:start w:val="1"/>
      <w:numFmt w:val="decimal"/>
      <w:lvlText w:val="%7."/>
      <w:lvlJc w:val="start"/>
      <w:pPr>
        <w:tabs>
          <w:tab w:val="num" w:pos="2880"/>
        </w:tabs>
        <w:ind w:start="2880" w:hanging="360"/>
      </w:pPr>
      <w:rPr/>
    </w:lvl>
    <w:lvl w:ilvl="7">
      <w:start w:val="1"/>
      <w:numFmt w:val="decimal"/>
      <w:lvlText w:val="%8."/>
      <w:lvlJc w:val="start"/>
      <w:pPr>
        <w:tabs>
          <w:tab w:val="num" w:pos="3240"/>
        </w:tabs>
        <w:ind w:start="3240" w:hanging="360"/>
      </w:pPr>
      <w:rPr/>
    </w:lvl>
    <w:lvl w:ilvl="8">
      <w:start w:val="1"/>
      <w:numFmt w:val="decimal"/>
      <w:lvlText w:val="%9."/>
      <w:lvlJc w:val="start"/>
      <w:pPr>
        <w:tabs>
          <w:tab w:val="num" w:pos="3600"/>
        </w:tabs>
        <w:ind w:start="3600" w:hanging="360"/>
      </w:pPr>
      <w:rPr/>
    </w:lvl>
  </w:abstractNum>
  <w:abstractNum w:abstractNumId="2">
    <w:lvl w:ilvl="0">
      <w:start w:val="1"/>
      <w:numFmt w:val="none"/>
      <w:suff w:val="nothing"/>
      <w:lvlText w:val=""/>
      <w:lvlJc w:val="start"/>
      <w:pPr>
        <w:tabs>
          <w:tab w:val="num" w:pos="0"/>
        </w:tabs>
        <w:ind w:start="0" w:hanging="0"/>
      </w:pPr>
    </w:lvl>
    <w:lvl w:ilvl="1">
      <w:start w:val="1"/>
      <w:numFmt w:val="none"/>
      <w:suff w:val="nothing"/>
      <w:lvlText w:val=""/>
      <w:lvlJc w:val="start"/>
      <w:pPr>
        <w:tabs>
          <w:tab w:val="num" w:pos="0"/>
        </w:tabs>
        <w:ind w:start="0" w:hanging="0"/>
      </w:pPr>
    </w:lvl>
    <w:lvl w:ilvl="2">
      <w:start w:val="1"/>
      <w:numFmt w:val="none"/>
      <w:suff w:val="nothing"/>
      <w:lvlText w:val=""/>
      <w:lvlJc w:val="start"/>
      <w:pPr>
        <w:tabs>
          <w:tab w:val="num" w:pos="0"/>
        </w:tabs>
        <w:ind w:start="0" w:hanging="0"/>
      </w:pPr>
    </w:lvl>
    <w:lvl w:ilvl="3">
      <w:start w:val="1"/>
      <w:numFmt w:val="none"/>
      <w:suff w:val="nothing"/>
      <w:lvlText w:val=""/>
      <w:lvlJc w:val="start"/>
      <w:pPr>
        <w:tabs>
          <w:tab w:val="num" w:pos="0"/>
        </w:tabs>
        <w:ind w:start="0" w:hanging="0"/>
      </w:pPr>
    </w:lvl>
    <w:lvl w:ilvl="4">
      <w:start w:val="1"/>
      <w:numFmt w:val="none"/>
      <w:suff w:val="nothing"/>
      <w:lvlText w:val=""/>
      <w:lvlJc w:val="start"/>
      <w:pPr>
        <w:tabs>
          <w:tab w:val="num" w:pos="0"/>
        </w:tabs>
        <w:ind w:start="0" w:hanging="0"/>
      </w:pPr>
    </w:lvl>
    <w:lvl w:ilvl="5">
      <w:start w:val="1"/>
      <w:numFmt w:val="none"/>
      <w:suff w:val="nothing"/>
      <w:lvlText w:val=""/>
      <w:lvlJc w:val="start"/>
      <w:pPr>
        <w:tabs>
          <w:tab w:val="num" w:pos="0"/>
        </w:tabs>
        <w:ind w:start="0" w:hanging="0"/>
      </w:pPr>
    </w:lvl>
    <w:lvl w:ilvl="6">
      <w:start w:val="1"/>
      <w:numFmt w:val="none"/>
      <w:suff w:val="nothing"/>
      <w:lvlText w:val=""/>
      <w:lvlJc w:val="start"/>
      <w:pPr>
        <w:tabs>
          <w:tab w:val="num" w:pos="0"/>
        </w:tabs>
        <w:ind w:start="0" w:hanging="0"/>
      </w:pPr>
    </w:lvl>
    <w:lvl w:ilvl="7">
      <w:start w:val="1"/>
      <w:numFmt w:val="none"/>
      <w:suff w:val="nothing"/>
      <w:lvlText w:val=""/>
      <w:lvlJc w:val="start"/>
      <w:pPr>
        <w:tabs>
          <w:tab w:val="num" w:pos="0"/>
        </w:tabs>
        <w:ind w:start="0" w:hanging="0"/>
      </w:pPr>
    </w:lvl>
    <w:lvl w:ilvl="8">
      <w:start w:val="1"/>
      <w:numFmt w:val="none"/>
      <w:suff w:val="nothing"/>
      <w:lvlText w:val=""/>
      <w:lvlJc w:val="start"/>
      <w:pPr>
        <w:tabs>
          <w:tab w:val="num" w:pos="0"/>
        </w:tabs>
        <w:ind w:start="0" w:hanging="0"/>
      </w:pPr>
    </w:lvl>
  </w:abstractNum>
  <w:num w:numId="1">
    <w:abstractNumId w:val="1"/>
  </w:num>
  <w:num w:numId="2">
    <w:abstractNumId w:val="2"/>
  </w:num>
</w:numbering>
</file>

<file path=word/settings.xml><?xml version="1.0" encoding="utf-8"?>
<w:settings xmlns:w="http://schemas.openxmlformats.org/wordprocessingml/2006/main">
  <w:zoom w:percent="93"/>
  <w:defaultTabStop w:val="709"/>
  <w:mailMerge>
    <w:mainDocumentType w:val="formLetters"/>
    <w:dataType w:val="textFile"/>
    <w:query w:val="SELECT * FROM Adressen.dbo.kundenliste$"/>
  </w:mailMerge>
  <w:autoHyphenation w:val="true"/>
  <w:hyphenationZone w:val="0"/>
  <w:compat>
    <w:compatSetting w:name="compatibilityMode" w:uri="http://schemas.microsoft.com/office/word" w:val="15"/>
    <w:compatSetting w:name="useWord2013TrackBottomHyphenation" w:uri="http://schemas.microsoft.com/office/word" w:val="1"/>
    <w:compatSetting w:name="allowHyphenationAtTrackBottom" w:uri="http://schemas.microsoft.com/office/word" w:val="1"/>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Liberation Serif" w:hAnsi="Liberation Serif" w:eastAsia="NSimSun" w:cs="Arial"/>
        <w:kern w:val="2"/>
        <w:sz w:val="24"/>
        <w:szCs w:val="24"/>
        <w:lang w:val="de-CH" w:eastAsia="zh-CN" w:bidi="hi-IN"/>
      </w:rPr>
    </w:rPrDefault>
    <w:pPrDefault>
      <w:pPr>
        <w:suppressAutoHyphens w:val="true"/>
      </w:pPr>
    </w:pPrDefault>
  </w:docDefaults>
  <w:style w:type="paragraph" w:styleId="Normal">
    <w:name w:val="Normal"/>
    <w:qFormat/>
    <w:pPr>
      <w:widowControl/>
      <w:suppressAutoHyphens w:val="true"/>
      <w:bidi w:val="0"/>
      <w:spacing w:before="0" w:after="0"/>
      <w:jc w:val="start"/>
    </w:pPr>
    <w:rPr>
      <w:rFonts w:ascii="Liberation Serif" w:hAnsi="Liberation Serif" w:eastAsia="NSimSun" w:cs="Arial"/>
      <w:color w:val="auto"/>
      <w:kern w:val="2"/>
      <w:sz w:val="24"/>
      <w:szCs w:val="24"/>
      <w:lang w:val="de-CH" w:eastAsia="zh-CN" w:bidi="hi-IN"/>
    </w:rPr>
  </w:style>
  <w:style w:type="character" w:styleId="Nummerierungszeichen">
    <w:name w:val="Nummerierungszeichen"/>
    <w:qFormat/>
    <w:rPr/>
  </w:style>
  <w:style w:type="paragraph" w:styleId="berschrift">
    <w:name w:val="Überschrift"/>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berschriftuser">
    <w:name w:val="Überschrift (user)"/>
    <w:basedOn w:val="Normal"/>
    <w:next w:val="BodyText"/>
    <w:qFormat/>
    <w:pPr>
      <w:keepNext w:val="true"/>
      <w:spacing w:before="240" w:after="120"/>
    </w:pPr>
    <w:rPr>
      <w:rFonts w:ascii="Liberation Sans" w:hAnsi="Liberation Sans" w:eastAsia="Microsoft YaHei" w:cs="Arial"/>
      <w:sz w:val="28"/>
      <w:szCs w:val="28"/>
    </w:rPr>
  </w:style>
  <w:style w:type="paragraph" w:styleId="Verzeichnisuser">
    <w:name w:val="Verzeichnis (user)"/>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xmlns:r="http://schemas.openxmlformats.org/officeDocument/2006/relationships" name="Office">
  <a:themeElements>
    <a:clrScheme name="LibreOffice">
      <a:dk1>
        <a:srgbClr val="000000"/>
      </a:dk1>
      <a:lt1>
        <a:srgbClr val="ffffff"/>
      </a:lt1>
      <a:dk2>
        <a:srgbClr val="000000"/>
      </a:dk2>
      <a:lt2>
        <a:srgbClr val="ffffff"/>
      </a:lt2>
      <a:accent1>
        <a:srgbClr val="18a303"/>
      </a:accent1>
      <a:accent2>
        <a:srgbClr val="0369a3"/>
      </a:accent2>
      <a:accent3>
        <a:srgbClr val="a33e03"/>
      </a:accent3>
      <a:accent4>
        <a:srgbClr val="8e03a3"/>
      </a:accent4>
      <a:accent5>
        <a:srgbClr val="c99c00"/>
      </a:accent5>
      <a:accent6>
        <a:srgbClr val="c9211e"/>
      </a:accent6>
      <a:hlink>
        <a:srgbClr val="0000ee"/>
      </a:hlink>
      <a:folHlink>
        <a:srgbClr val="551a8b"/>
      </a:folHlink>
    </a:clrScheme>
    <a:fontScheme name="Office">
      <a:majorFont>
        <a:latin typeface="Arial" pitchFamily="0" charset="1"/>
        <a:ea typeface="DejaVu Sans" pitchFamily="0" charset="1"/>
        <a:cs typeface="DejaVu Sans" pitchFamily="0" charset="1"/>
      </a:majorFont>
      <a:minorFont>
        <a:latin typeface="Arial" pitchFamily="0" charset="1"/>
        <a:ea typeface="DejaVu Sans" pitchFamily="0" charset="1"/>
        <a:cs typeface="DejaVu Sans" pitchFamily="0" charset="1"/>
      </a:minorFont>
    </a:fontScheme>
    <a:fmtScheme>
      <a:fillStyleLst>
        <a:solidFill>
          <a:schemeClr val="phClr"/>
        </a:solidFill>
        <a:solidFill>
          <a:schemeClr val="phClr"/>
        </a:solidFill>
        <a:solidFill>
          <a:schemeClr val="phClr"/>
        </a:solidFill>
      </a:fillStyleLst>
      <a:lnStyleLst>
        <a:ln w="6350" cap="flat" cmpd="sng" algn="ctr">
          <a:prstDash val="solid"/>
          <a:miter/>
        </a:ln>
        <a:ln w="6350" cap="flat" cmpd="sng" algn="ctr">
          <a:prstDash val="solid"/>
          <a:miter/>
        </a:ln>
        <a:ln w="6350" cap="flat" cmpd="sng" algn="ctr">
          <a:prstDash val="solid"/>
          <a:miter/>
        </a:ln>
      </a:lnStyleLst>
      <a:effectStyleLst>
        <a:effectStyle>
          <a:effectLst/>
        </a:effectStyle>
        <a:effectStyle>
          <a:effectLst/>
        </a:effectStyle>
        <a:effectStyle>
          <a:effectLst/>
        </a:effectStyle>
      </a:effectStyleLst>
      <a:bgFillStyleLst>
        <a:solidFill>
          <a:schemeClr val="phClr"/>
        </a:solidFill>
        <a:solidFill>
          <a:schemeClr val="phClr"/>
        </a:solidFill>
        <a:solidFill>
          <a:schemeClr val="phClr"/>
        </a:solidFill>
      </a:bgFillStyleLst>
    </a:fmtScheme>
  </a:themeElements>
</a:theme>
</file>

<file path=docProps/app.xml><?xml version="1.0" encoding="utf-8"?>
<Properties xmlns="http://schemas.openxmlformats.org/officeDocument/2006/extended-properties" xmlns:vt="http://schemas.openxmlformats.org/officeDocument/2006/docPropsVTypes">
  <Template/>
  <TotalTime>32</TotalTime>
  <Application>LibreOffice/25.8.3.2$Windows_X86_64 LibreOffice_project/8ca8d55c161d602844f5428fa4b58097424e324e</Application>
  <AppVersion>15.0000</AppVersion>
  <Pages>1</Pages>
  <Words>269</Words>
  <Characters>1929</Characters>
  <CharactersWithSpaces>2178</CharactersWithSpaces>
  <Paragraphs>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2025-10-31T07:53:18Z</dcterms:created>
  <dc:creator/>
  <dc:description/>
  <dc:language>de-CH</dc:language>
  <cp:lastModifiedBy/>
  <dcterms:modified xsi:type="dcterms:W3CDTF">2025-11-19T13:06:02Z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